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1"/>
          <w:color w:val="000000"/>
          <w:sz w:val="28"/>
          <w:u w:val="none"/>
        </w:rPr>
      </w:pPr>
      <w:r>
        <w:rPr>
          <w:rFonts w:ascii="Times New Roman" w:hAnsi="Times New Roman"/>
          <w:b w:val="1"/>
          <w:color w:val="000000"/>
          <w:sz w:val="28"/>
          <w:u w:val="none"/>
        </w:rPr>
        <w:t>Прокуратура г. Электростали Московской области разъясняет: «</w:t>
      </w:r>
      <w:r>
        <w:rPr>
          <w:rFonts w:ascii="Times New Roman" w:hAnsi="Times New Roman"/>
          <w:b w:val="1"/>
          <w:color w:val="000000"/>
          <w:sz w:val="28"/>
          <w:u w:val="none"/>
        </w:rPr>
        <w:t>Урегулированы отдельные вопросы ведения садоводства и огородничества для собственных нужд»</w:t>
      </w:r>
    </w:p>
    <w:p w14:paraId="02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Подписан Федеральный закон от 31.07.2025 № 353-ФЗ «О внесении изменений в Федеральный закон «О ведении гражданами садоводства и огородничества для собственных нужд и о внесении изменений в отдельные законодательные акты Российской Федерации» и отдельные законодательные акты Российской Федерации».</w:t>
      </w:r>
    </w:p>
    <w:p w14:paraId="03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В частности, установлено, что собственник садового земельного участка или огородного земельного участка не вправе отчуждать его отдельно от расположенных на нем жилого дома, садового дома, хозяйственных построек и (или) гаража.</w:t>
      </w:r>
    </w:p>
    <w:p w14:paraId="04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Поправками также запрещен раздел жилого дома, садового дома, хозяйственной постройки, гаража.</w:t>
      </w:r>
    </w:p>
    <w:p w14:paraId="05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Закреплено понятие «хозяйственные постройки»: к таковым отнесены в том числе сараи, бани, теплицы, навесы, погреба, летние кухни, колодцы. Погреба и другие сооружения, являющиеся частями жилых и садовых домов, к хозяйственным постройкам не относятся.</w:t>
      </w:r>
    </w:p>
    <w:p w14:paraId="06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Предусмотрены и иные изменения.</w:t>
      </w:r>
    </w:p>
    <w:p w14:paraId="07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Федеральный закон вступил в силу с 1 сентября 2025 года.</w:t>
      </w: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2025-11-21T08:22:43Z</dcterms:modified>
</cp:coreProperties>
</file>